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E" w:rsidRDefault="00471CBE" w:rsidP="00471CBE">
      <w:pPr>
        <w:pStyle w:val="ABber"/>
      </w:pPr>
      <w:bookmarkStart w:id="0" w:name="_Toc295687222"/>
      <w:bookmarkStart w:id="1" w:name="_Toc297794849"/>
      <w:proofErr w:type="spellStart"/>
      <w:r>
        <w:t>Palaeobiogeographical</w:t>
      </w:r>
      <w:proofErr w:type="spellEnd"/>
      <w:r>
        <w:t xml:space="preserve"> analysis for the late </w:t>
      </w:r>
      <w:proofErr w:type="spellStart"/>
      <w:r>
        <w:t>Viséan</w:t>
      </w:r>
      <w:proofErr w:type="spellEnd"/>
      <w:r>
        <w:t xml:space="preserve"> corals in the </w:t>
      </w:r>
      <w:proofErr w:type="spellStart"/>
      <w:r>
        <w:t>Variscan</w:t>
      </w:r>
      <w:proofErr w:type="spellEnd"/>
      <w:r>
        <w:t xml:space="preserve"> Realm of Western Europe and Northern Africa</w:t>
      </w:r>
      <w:bookmarkEnd w:id="0"/>
      <w:bookmarkEnd w:id="1"/>
    </w:p>
    <w:p w:rsidR="00471CBE" w:rsidRDefault="00471CBE" w:rsidP="00471CBE">
      <w:pPr>
        <w:pStyle w:val="ABber"/>
      </w:pPr>
    </w:p>
    <w:p w:rsidR="00471CBE" w:rsidRDefault="00471CBE" w:rsidP="00471CBE">
      <w:pPr>
        <w:pStyle w:val="ABName"/>
        <w:rPr>
          <w:lang w:val="fr-FR"/>
        </w:rPr>
      </w:pPr>
      <w:bookmarkStart w:id="2" w:name="_Toc295687223"/>
      <w:r>
        <w:rPr>
          <w:lang w:val="fr-FR"/>
        </w:rPr>
        <w:t>Markus ARETZ</w:t>
      </w:r>
      <w:bookmarkEnd w:id="2"/>
    </w:p>
    <w:p w:rsidR="00471CBE" w:rsidRDefault="00471CBE" w:rsidP="00471CBE">
      <w:pPr>
        <w:pStyle w:val="ABName"/>
        <w:rPr>
          <w:lang w:val="fr-FR"/>
        </w:rPr>
      </w:pPr>
    </w:p>
    <w:p w:rsidR="00471CBE" w:rsidRDefault="00471CBE" w:rsidP="00471CBE">
      <w:pPr>
        <w:pStyle w:val="ABAdresse"/>
        <w:rPr>
          <w:lang w:val="fr-FR"/>
        </w:rPr>
      </w:pPr>
      <w:r>
        <w:rPr>
          <w:lang w:val="fr-FR"/>
        </w:rPr>
        <w:t>Université de Toul</w:t>
      </w:r>
      <w:r w:rsidR="00CF3093">
        <w:rPr>
          <w:lang w:val="fr-FR"/>
        </w:rPr>
        <w:t>o</w:t>
      </w:r>
      <w:r>
        <w:rPr>
          <w:lang w:val="fr-FR"/>
        </w:rPr>
        <w:t xml:space="preserve">use (UPS), GET (OMP), 14, Avenue Edouard Belin, 31400 Toulouse, </w:t>
      </w:r>
      <w:proofErr w:type="gramStart"/>
      <w:r>
        <w:rPr>
          <w:lang w:val="fr-FR"/>
        </w:rPr>
        <w:t>France;</w:t>
      </w:r>
      <w:proofErr w:type="gramEnd"/>
      <w:r>
        <w:rPr>
          <w:lang w:val="fr-FR"/>
        </w:rPr>
        <w:t xml:space="preserve"> markus.aretz@get.obs-mip.fr</w:t>
      </w:r>
    </w:p>
    <w:p w:rsidR="00471CBE" w:rsidRDefault="00471CBE" w:rsidP="00471CBE">
      <w:pPr>
        <w:pStyle w:val="ABAdresse"/>
        <w:rPr>
          <w:rFonts w:cs="Arial"/>
          <w:szCs w:val="20"/>
          <w:lang w:val="fr-FR"/>
        </w:rPr>
      </w:pPr>
    </w:p>
    <w:p w:rsidR="00471CBE" w:rsidRDefault="00471CBE" w:rsidP="00471CBE">
      <w:pPr>
        <w:pStyle w:val="ABText"/>
      </w:pPr>
      <w:r>
        <w:t xml:space="preserve">The proximity of </w:t>
      </w:r>
      <w:proofErr w:type="spellStart"/>
      <w:r>
        <w:t>palaeobiogeographical</w:t>
      </w:r>
      <w:proofErr w:type="spellEnd"/>
      <w:r>
        <w:t xml:space="preserve"> units can be evaluated and correlated with the spatial distribution of benthic faunas. A case study is herein </w:t>
      </w:r>
      <w:proofErr w:type="gramStart"/>
      <w:r>
        <w:t>been</w:t>
      </w:r>
      <w:proofErr w:type="gramEnd"/>
      <w:r>
        <w:t xml:space="preserve"> presented for the late </w:t>
      </w:r>
      <w:proofErr w:type="spellStart"/>
      <w:r>
        <w:t>Viséan</w:t>
      </w:r>
      <w:proofErr w:type="spellEnd"/>
      <w:r>
        <w:t xml:space="preserve"> rugose corals of the European and African </w:t>
      </w:r>
      <w:proofErr w:type="spellStart"/>
      <w:r>
        <w:t>Variscan</w:t>
      </w:r>
      <w:proofErr w:type="spellEnd"/>
      <w:r>
        <w:t xml:space="preserve"> Realm. </w:t>
      </w:r>
    </w:p>
    <w:p w:rsidR="00471CBE" w:rsidRDefault="00471CBE" w:rsidP="00471CBE">
      <w:pPr>
        <w:pStyle w:val="ABText"/>
      </w:pPr>
      <w:r>
        <w:t xml:space="preserve">The dataset on the species level comprises the well-studied coral faunas from both sides of the </w:t>
      </w:r>
      <w:proofErr w:type="spellStart"/>
      <w:r>
        <w:t>Rhenohercynian</w:t>
      </w:r>
      <w:proofErr w:type="spellEnd"/>
      <w:r>
        <w:t xml:space="preserve"> Basin in Belgium and SW Spain. </w:t>
      </w:r>
      <w:proofErr w:type="gramStart"/>
      <w:r>
        <w:t>Additionally</w:t>
      </w:r>
      <w:proofErr w:type="gramEnd"/>
      <w:r>
        <w:t xml:space="preserve"> the low diverse coral fauna of Nova Scotia (</w:t>
      </w:r>
      <w:proofErr w:type="spellStart"/>
      <w:r>
        <w:rPr>
          <w:smallCaps/>
        </w:rPr>
        <w:t>Poty</w:t>
      </w:r>
      <w:proofErr w:type="spellEnd"/>
      <w:r>
        <w:t xml:space="preserve"> 2002) has been added. In the southern </w:t>
      </w:r>
      <w:proofErr w:type="spellStart"/>
      <w:r>
        <w:t>Variscan</w:t>
      </w:r>
      <w:proofErr w:type="spellEnd"/>
      <w:r>
        <w:t xml:space="preserve"> domain of Europe late </w:t>
      </w:r>
      <w:proofErr w:type="spellStart"/>
      <w:r>
        <w:t>Viséan</w:t>
      </w:r>
      <w:proofErr w:type="spellEnd"/>
      <w:r>
        <w:t xml:space="preserve"> coral faunas are less well documented and described. For the purpose of this study published and unpublished data from the Montagne Noire, the Pyrenees and the </w:t>
      </w:r>
      <w:proofErr w:type="spellStart"/>
      <w:r>
        <w:t>Betic</w:t>
      </w:r>
      <w:proofErr w:type="spellEnd"/>
      <w:r>
        <w:t xml:space="preserve"> Cordillera were used. In Northern Africa late </w:t>
      </w:r>
      <w:proofErr w:type="spellStart"/>
      <w:r>
        <w:t>Viséan</w:t>
      </w:r>
      <w:proofErr w:type="spellEnd"/>
      <w:r>
        <w:t xml:space="preserve"> coral faunas are widely known, but currently the quality of taxonomic information is very heterogeneous (see discussion in </w:t>
      </w:r>
      <w:proofErr w:type="spellStart"/>
      <w:r>
        <w:rPr>
          <w:smallCaps/>
        </w:rPr>
        <w:t>Aretz</w:t>
      </w:r>
      <w:proofErr w:type="spellEnd"/>
      <w:r>
        <w:t xml:space="preserve"> 2010a). For the purpose of this study all available data have been compiled for the Moroccan </w:t>
      </w:r>
      <w:proofErr w:type="spellStart"/>
      <w:r>
        <w:t>Meseta</w:t>
      </w:r>
      <w:proofErr w:type="spellEnd"/>
      <w:r>
        <w:t xml:space="preserve"> and neighbouring </w:t>
      </w:r>
      <w:proofErr w:type="spellStart"/>
      <w:r>
        <w:t>palaeogeographical</w:t>
      </w:r>
      <w:proofErr w:type="spellEnd"/>
      <w:r>
        <w:t xml:space="preserve"> units and the Sahara Platform in Morocco and Algeria. </w:t>
      </w:r>
    </w:p>
    <w:p w:rsidR="00471CBE" w:rsidRDefault="00471CBE" w:rsidP="00471CBE">
      <w:pPr>
        <w:pStyle w:val="ABText"/>
      </w:pPr>
      <w:r>
        <w:t xml:space="preserve">All these regions have been grouped into the Western European coral province by </w:t>
      </w:r>
      <w:proofErr w:type="spellStart"/>
      <w:r>
        <w:rPr>
          <w:smallCaps/>
        </w:rPr>
        <w:t>Sando</w:t>
      </w:r>
      <w:proofErr w:type="spellEnd"/>
      <w:r>
        <w:t xml:space="preserve"> (1990). Although representing a single </w:t>
      </w:r>
      <w:proofErr w:type="spellStart"/>
      <w:r>
        <w:t>palaeobiogeographical</w:t>
      </w:r>
      <w:proofErr w:type="spellEnd"/>
      <w:r>
        <w:t xml:space="preserve"> province, the distribution patterns of specific taxa within this province are very heterogeneous, e.g. </w:t>
      </w:r>
      <w:proofErr w:type="spellStart"/>
      <w:r>
        <w:rPr>
          <w:i/>
        </w:rPr>
        <w:t>Siphonodendron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junceum</w:t>
      </w:r>
      <w:proofErr w:type="spellEnd"/>
      <w:r>
        <w:t xml:space="preserve"> and colonial </w:t>
      </w:r>
      <w:proofErr w:type="spellStart"/>
      <w:r>
        <w:t>axophyllids</w:t>
      </w:r>
      <w:proofErr w:type="spellEnd"/>
      <w:r>
        <w:t>. This can only partly be explained by their adaptation to specific environments (</w:t>
      </w:r>
      <w:proofErr w:type="spellStart"/>
      <w:r>
        <w:rPr>
          <w:smallCaps/>
        </w:rPr>
        <w:t>Aretz</w:t>
      </w:r>
      <w:proofErr w:type="spellEnd"/>
      <w:r>
        <w:t xml:space="preserve"> 2010b) or the local lack of reliable data. </w:t>
      </w:r>
    </w:p>
    <w:p w:rsidR="00471CBE" w:rsidRDefault="00471CBE" w:rsidP="00471CBE">
      <w:pPr>
        <w:pStyle w:val="ABText"/>
      </w:pPr>
      <w:r>
        <w:t xml:space="preserve">For this case study seven spatial units have been differentiated: Sahara Platform (Basins south of the South </w:t>
      </w:r>
      <w:proofErr w:type="spellStart"/>
      <w:r>
        <w:t>Meseta</w:t>
      </w:r>
      <w:proofErr w:type="spellEnd"/>
      <w:r>
        <w:t xml:space="preserve"> Fault), </w:t>
      </w:r>
      <w:proofErr w:type="spellStart"/>
      <w:r>
        <w:t>Meseta</w:t>
      </w:r>
      <w:proofErr w:type="spellEnd"/>
      <w:r>
        <w:t xml:space="preserve"> (representing the mobile </w:t>
      </w:r>
      <w:proofErr w:type="spellStart"/>
      <w:r>
        <w:t>Variscan</w:t>
      </w:r>
      <w:proofErr w:type="spellEnd"/>
      <w:r>
        <w:t xml:space="preserve"> Morocco), Ossa </w:t>
      </w:r>
      <w:proofErr w:type="spellStart"/>
      <w:r>
        <w:t>Morena</w:t>
      </w:r>
      <w:proofErr w:type="spellEnd"/>
      <w:r>
        <w:t xml:space="preserve">, Nova Scotia, Belgium, Southern France (Montagne Noire and Pyrenees) and </w:t>
      </w:r>
      <w:proofErr w:type="spellStart"/>
      <w:r>
        <w:t>Betics</w:t>
      </w:r>
      <w:proofErr w:type="spellEnd"/>
      <w:r>
        <w:t xml:space="preserve"> (</w:t>
      </w:r>
      <w:proofErr w:type="spellStart"/>
      <w:r>
        <w:rPr>
          <w:lang w:val="en-US"/>
        </w:rPr>
        <w:t>Malaguides</w:t>
      </w:r>
      <w:proofErr w:type="spellEnd"/>
      <w:r>
        <w:t xml:space="preserve"> and Baleares). The single units comprise very different environments and their sizes partly homogenise the lack of data. </w:t>
      </w:r>
    </w:p>
    <w:p w:rsidR="00471CBE" w:rsidRDefault="00471CBE" w:rsidP="00471CBE">
      <w:pPr>
        <w:pStyle w:val="ABText"/>
      </w:pPr>
      <w:r>
        <w:t xml:space="preserve">Several statistical analyses show that three distinctive clusters existed in the Western European coral province </w:t>
      </w:r>
      <w:proofErr w:type="spellStart"/>
      <w:r>
        <w:t>sensu</w:t>
      </w:r>
      <w:proofErr w:type="spellEnd"/>
      <w:r>
        <w:t xml:space="preserve"> </w:t>
      </w:r>
      <w:proofErr w:type="spellStart"/>
      <w:r>
        <w:rPr>
          <w:smallCaps/>
        </w:rPr>
        <w:t>Sando</w:t>
      </w:r>
      <w:proofErr w:type="spellEnd"/>
      <w:r>
        <w:t xml:space="preserve"> (1990). These are (1) Belgium, Nova Scotia, Ossa </w:t>
      </w:r>
      <w:proofErr w:type="spellStart"/>
      <w:r>
        <w:t>Morena</w:t>
      </w:r>
      <w:proofErr w:type="spellEnd"/>
      <w:r>
        <w:t xml:space="preserve"> and Moroccan </w:t>
      </w:r>
      <w:proofErr w:type="spellStart"/>
      <w:r>
        <w:t>Meseta</w:t>
      </w:r>
      <w:proofErr w:type="spellEnd"/>
      <w:r>
        <w:t xml:space="preserve">, (2) Sahara platform, and (3) southern France and SE Spain (Fig. 1). </w:t>
      </w:r>
    </w:p>
    <w:p w:rsidR="00471CBE" w:rsidRDefault="00471CBE" w:rsidP="00471CBE">
      <w:pPr>
        <w:pStyle w:val="ABText"/>
      </w:pPr>
      <w:r>
        <w:rPr>
          <w:lang w:val="en-US"/>
        </w:rPr>
        <w:t xml:space="preserve">The most isolated cluster is that of the southern European </w:t>
      </w:r>
      <w:proofErr w:type="spellStart"/>
      <w:r>
        <w:rPr>
          <w:lang w:val="en-US"/>
        </w:rPr>
        <w:t>Variscan</w:t>
      </w:r>
      <w:proofErr w:type="spellEnd"/>
      <w:r>
        <w:rPr>
          <w:lang w:val="en-US"/>
        </w:rPr>
        <w:t xml:space="preserve">. A significant </w:t>
      </w:r>
      <w:proofErr w:type="spellStart"/>
      <w:r>
        <w:rPr>
          <w:lang w:val="en-US"/>
        </w:rPr>
        <w:t>palaeobiogeographical</w:t>
      </w:r>
      <w:proofErr w:type="spellEnd"/>
      <w:r>
        <w:rPr>
          <w:lang w:val="en-US"/>
        </w:rPr>
        <w:t xml:space="preserve"> barrier has to be proposed for the time slice and that should correspond to the central zones of the </w:t>
      </w:r>
      <w:proofErr w:type="spellStart"/>
      <w:r>
        <w:rPr>
          <w:lang w:val="en-US"/>
        </w:rPr>
        <w:t>Variscan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Orogen</w:t>
      </w:r>
      <w:proofErr w:type="spellEnd"/>
      <w:r>
        <w:rPr>
          <w:lang w:val="en-US"/>
        </w:rPr>
        <w:t xml:space="preserve"> separating a northern and southern realm. It can further be concluded that two regions, which are geographical proximal in present days, were clearly separated in </w:t>
      </w:r>
      <w:proofErr w:type="spellStart"/>
      <w:r>
        <w:rPr>
          <w:lang w:val="en-US"/>
        </w:rPr>
        <w:t>Variscan</w:t>
      </w:r>
      <w:proofErr w:type="spellEnd"/>
      <w:r>
        <w:rPr>
          <w:lang w:val="en-US"/>
        </w:rPr>
        <w:t xml:space="preserve"> times, the Eastern Moroccan </w:t>
      </w:r>
      <w:proofErr w:type="spellStart"/>
      <w:r>
        <w:rPr>
          <w:lang w:val="en-US"/>
        </w:rPr>
        <w:t>Meseta</w:t>
      </w:r>
      <w:proofErr w:type="spellEnd"/>
      <w:r>
        <w:rPr>
          <w:lang w:val="en-US"/>
        </w:rPr>
        <w:t xml:space="preserve"> and the </w:t>
      </w:r>
      <w:proofErr w:type="spellStart"/>
      <w:r>
        <w:rPr>
          <w:lang w:val="en-US"/>
        </w:rPr>
        <w:t>Malagides</w:t>
      </w:r>
      <w:proofErr w:type="spellEnd"/>
      <w:r>
        <w:rPr>
          <w:lang w:val="en-US"/>
        </w:rPr>
        <w:t xml:space="preserve">. The coral faunas of the Western and Eastern Moroccan </w:t>
      </w:r>
      <w:proofErr w:type="spellStart"/>
      <w:r>
        <w:rPr>
          <w:lang w:val="en-US"/>
        </w:rPr>
        <w:t>Meseta</w:t>
      </w:r>
      <w:proofErr w:type="spellEnd"/>
      <w:r>
        <w:rPr>
          <w:lang w:val="en-US"/>
        </w:rPr>
        <w:t xml:space="preserve"> are part of the ‘</w:t>
      </w:r>
      <w:proofErr w:type="spellStart"/>
      <w:r>
        <w:rPr>
          <w:lang w:val="en-US"/>
        </w:rPr>
        <w:t>Rhenohercynian</w:t>
      </w:r>
      <w:proofErr w:type="spellEnd"/>
      <w:r>
        <w:rPr>
          <w:lang w:val="en-US"/>
        </w:rPr>
        <w:t xml:space="preserve"> cluster’ and thus good indicators for the potential continuation of the European </w:t>
      </w:r>
      <w:proofErr w:type="spellStart"/>
      <w:r>
        <w:rPr>
          <w:lang w:val="en-US"/>
        </w:rPr>
        <w:t>Variscan</w:t>
      </w:r>
      <w:proofErr w:type="spellEnd"/>
      <w:r>
        <w:rPr>
          <w:lang w:val="en-US"/>
        </w:rPr>
        <w:t xml:space="preserve"> Zones into North Africa and the plate configuration at that time. The coral faunas of the Sahara Platform are much closer to the ‘</w:t>
      </w:r>
      <w:proofErr w:type="spellStart"/>
      <w:r>
        <w:rPr>
          <w:lang w:val="en-US"/>
        </w:rPr>
        <w:t>Rhenohercynian</w:t>
      </w:r>
      <w:proofErr w:type="spellEnd"/>
      <w:r>
        <w:rPr>
          <w:lang w:val="en-US"/>
        </w:rPr>
        <w:t xml:space="preserve"> cluster’ than to the southern European </w:t>
      </w:r>
      <w:proofErr w:type="spellStart"/>
      <w:r>
        <w:rPr>
          <w:lang w:val="en-US"/>
        </w:rPr>
        <w:t>Variscides</w:t>
      </w:r>
      <w:proofErr w:type="spellEnd"/>
      <w:r>
        <w:rPr>
          <w:lang w:val="en-US"/>
        </w:rPr>
        <w:t xml:space="preserve">. This can be explained by minor </w:t>
      </w:r>
      <w:proofErr w:type="spellStart"/>
      <w:r>
        <w:rPr>
          <w:lang w:val="en-US"/>
        </w:rPr>
        <w:t>faunistic</w:t>
      </w:r>
      <w:proofErr w:type="spellEnd"/>
      <w:r>
        <w:rPr>
          <w:lang w:val="en-US"/>
        </w:rPr>
        <w:t xml:space="preserve"> and environmental differences between the stable </w:t>
      </w:r>
      <w:proofErr w:type="spellStart"/>
      <w:r>
        <w:rPr>
          <w:lang w:val="en-US"/>
        </w:rPr>
        <w:t>cratonic</w:t>
      </w:r>
      <w:proofErr w:type="spellEnd"/>
      <w:r>
        <w:rPr>
          <w:lang w:val="en-US"/>
        </w:rPr>
        <w:t xml:space="preserve"> basins south of the South </w:t>
      </w:r>
      <w:proofErr w:type="spellStart"/>
      <w:r>
        <w:rPr>
          <w:lang w:val="en-US"/>
        </w:rPr>
        <w:t>Meseta</w:t>
      </w:r>
      <w:proofErr w:type="spellEnd"/>
      <w:r>
        <w:rPr>
          <w:lang w:val="en-US"/>
        </w:rPr>
        <w:t xml:space="preserve"> Fault and the mobile zones of the Moroccan and European </w:t>
      </w:r>
      <w:proofErr w:type="spellStart"/>
      <w:r>
        <w:rPr>
          <w:lang w:val="en-US"/>
        </w:rPr>
        <w:t>Variscides</w:t>
      </w:r>
      <w:proofErr w:type="spellEnd"/>
      <w:r>
        <w:rPr>
          <w:lang w:val="en-US"/>
        </w:rPr>
        <w:t>. However, the information of inter- and interspecific variabilities of the coral taxa in this region are badly known, and the number of endemic species (</w:t>
      </w:r>
      <w:proofErr w:type="spellStart"/>
      <w:r>
        <w:rPr>
          <w:smallCaps/>
        </w:rPr>
        <w:t>Semenoff</w:t>
      </w:r>
      <w:proofErr w:type="spellEnd"/>
      <w:r>
        <w:rPr>
          <w:smallCaps/>
        </w:rPr>
        <w:t>-Tian-</w:t>
      </w:r>
      <w:proofErr w:type="spellStart"/>
      <w:r>
        <w:rPr>
          <w:smallCaps/>
        </w:rPr>
        <w:t>Chansky</w:t>
      </w:r>
      <w:proofErr w:type="spellEnd"/>
      <w:r>
        <w:t xml:space="preserve"> 1974) may be currently overestimated. </w:t>
      </w:r>
    </w:p>
    <w:p w:rsidR="00471CBE" w:rsidRDefault="00471CBE" w:rsidP="00471CBE">
      <w:pPr>
        <w:pStyle w:val="ABText"/>
      </w:pPr>
      <w:r>
        <w:t xml:space="preserve">The data on corals are also supported from the data obtained for other benthic and pelagic </w:t>
      </w:r>
      <w:proofErr w:type="spellStart"/>
      <w:r>
        <w:t>macrofauna</w:t>
      </w:r>
      <w:proofErr w:type="spellEnd"/>
      <w:r>
        <w:t xml:space="preserve"> (brachiopods, </w:t>
      </w:r>
      <w:proofErr w:type="spellStart"/>
      <w:r>
        <w:t>ammonoids</w:t>
      </w:r>
      <w:proofErr w:type="spellEnd"/>
      <w:r>
        <w:t>). The distribution of the calcareous algae</w:t>
      </w:r>
      <w:r>
        <w:rPr>
          <w:i/>
        </w:rPr>
        <w:t xml:space="preserve"> </w:t>
      </w:r>
      <w:proofErr w:type="spellStart"/>
      <w:r>
        <w:rPr>
          <w:i/>
        </w:rPr>
        <w:t>Eovelibitella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smallCaps/>
        </w:rPr>
        <w:t>Vachard</w:t>
      </w:r>
      <w:proofErr w:type="spellEnd"/>
      <w:r>
        <w:t xml:space="preserve"> et al. 2006) is a good example for the overlap with the Southern </w:t>
      </w:r>
      <w:proofErr w:type="spellStart"/>
      <w:r>
        <w:t>Variscan</w:t>
      </w:r>
      <w:proofErr w:type="spellEnd"/>
      <w:r>
        <w:t xml:space="preserve"> coral cluster, and thus shows that the coral clusters indicate more than environmental control or </w:t>
      </w:r>
      <w:proofErr w:type="spellStart"/>
      <w:r>
        <w:t>insufficant</w:t>
      </w:r>
      <w:proofErr w:type="spellEnd"/>
      <w:r>
        <w:t xml:space="preserve"> data. </w:t>
      </w:r>
    </w:p>
    <w:p w:rsidR="00471CBE" w:rsidRDefault="00CF3093" w:rsidP="00471CBE">
      <w:pPr>
        <w:pStyle w:val="ABText"/>
      </w:pPr>
      <w:r>
        <w:t>More lines here</w:t>
      </w:r>
    </w:p>
    <w:p w:rsidR="00CF3093" w:rsidRDefault="00CF3093" w:rsidP="00471CBE">
      <w:pPr>
        <w:pStyle w:val="ABText"/>
      </w:pPr>
      <w:r>
        <w:t>More lines here</w:t>
      </w:r>
    </w:p>
    <w:p w:rsidR="00CF3093" w:rsidRDefault="00CF3093" w:rsidP="00471CBE">
      <w:pPr>
        <w:pStyle w:val="ABText"/>
      </w:pPr>
      <w:r>
        <w:t>More lines here</w:t>
      </w:r>
    </w:p>
    <w:p w:rsidR="00CF3093" w:rsidRPr="00CF3093" w:rsidRDefault="00CF3093" w:rsidP="00CF3093">
      <w:pPr>
        <w:pStyle w:val="ABText"/>
        <w:rPr>
          <w:b/>
        </w:rPr>
      </w:pPr>
      <w:r w:rsidRPr="00CF3093">
        <w:rPr>
          <w:b/>
        </w:rPr>
        <w:t>Last line on this page</w:t>
      </w:r>
    </w:p>
    <w:p w:rsidR="00471CBE" w:rsidRDefault="00471CBE" w:rsidP="00471CBE">
      <w:pPr>
        <w:pStyle w:val="ABFigure"/>
        <w:jc w:val="center"/>
        <w:rPr>
          <w:bCs/>
          <w:smallCaps/>
        </w:rPr>
      </w:pPr>
      <w:r>
        <w:rPr>
          <w:bCs/>
          <w:smallCaps/>
          <w:noProof/>
          <w:lang w:val="de-DE"/>
        </w:rPr>
        <w:lastRenderedPageBreak/>
        <w:drawing>
          <wp:inline distT="0" distB="0" distL="0" distR="0">
            <wp:extent cx="3444240" cy="1973580"/>
            <wp:effectExtent l="0" t="0" r="3810" b="7620"/>
            <wp:docPr id="1" name="Grafik 1" descr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qu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BE" w:rsidRDefault="00471CBE" w:rsidP="00471CBE">
      <w:pPr>
        <w:pStyle w:val="ABFigure"/>
        <w:jc w:val="center"/>
        <w:rPr>
          <w:bCs/>
          <w:smallCaps/>
        </w:rPr>
      </w:pPr>
    </w:p>
    <w:p w:rsidR="00471CBE" w:rsidRDefault="00471CBE" w:rsidP="00471CBE">
      <w:pPr>
        <w:pStyle w:val="ABFigure"/>
      </w:pPr>
      <w:r>
        <w:t>Fig. 1: Cluster Analysis (</w:t>
      </w:r>
      <w:proofErr w:type="spellStart"/>
      <w:r>
        <w:rPr>
          <w:iCs/>
          <w:lang w:val="en-US"/>
        </w:rPr>
        <w:t>Raup</w:t>
      </w:r>
      <w:proofErr w:type="spellEnd"/>
      <w:r>
        <w:rPr>
          <w:iCs/>
          <w:lang w:val="en-US"/>
        </w:rPr>
        <w:t xml:space="preserve">-Crick </w:t>
      </w:r>
      <w:proofErr w:type="spellStart"/>
      <w:r>
        <w:rPr>
          <w:iCs/>
          <w:lang w:val="en-US"/>
        </w:rPr>
        <w:t>Coefficent</w:t>
      </w:r>
      <w:proofErr w:type="spellEnd"/>
      <w:r>
        <w:rPr>
          <w:rFonts w:eastAsia="Book Antiqua"/>
        </w:rPr>
        <w:t>; node supports at 1000 bootstrap replicates</w:t>
      </w:r>
      <w:r>
        <w:rPr>
          <w:iCs/>
          <w:lang w:val="en-US"/>
        </w:rPr>
        <w:t xml:space="preserve">) </w:t>
      </w:r>
      <w:r>
        <w:t xml:space="preserve">for the Western European coral province of </w:t>
      </w:r>
      <w:proofErr w:type="spellStart"/>
      <w:r>
        <w:rPr>
          <w:smallCaps/>
        </w:rPr>
        <w:t>Sando</w:t>
      </w:r>
      <w:proofErr w:type="spellEnd"/>
      <w:r>
        <w:t xml:space="preserve"> (1990). Seven spatial units of late </w:t>
      </w:r>
      <w:proofErr w:type="spellStart"/>
      <w:r>
        <w:t>Viséan</w:t>
      </w:r>
      <w:proofErr w:type="spellEnd"/>
      <w:r>
        <w:t xml:space="preserve"> coral faunas have been differentiated in Western Europe and Northern Africa. </w:t>
      </w:r>
    </w:p>
    <w:p w:rsidR="00471CBE" w:rsidRDefault="00471CBE" w:rsidP="00471CBE">
      <w:pPr>
        <w:pStyle w:val="ABReferences"/>
        <w:rPr>
          <w:smallCaps/>
        </w:rPr>
      </w:pP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Default="00CF3093" w:rsidP="00CF3093">
      <w:pPr>
        <w:pStyle w:val="ABText"/>
      </w:pPr>
      <w:r>
        <w:t>More lines here</w:t>
      </w:r>
    </w:p>
    <w:p w:rsidR="00CF3093" w:rsidRPr="00CF3093" w:rsidRDefault="00CF3093" w:rsidP="00471CBE">
      <w:pPr>
        <w:pStyle w:val="ABReferences"/>
        <w:rPr>
          <w:smallCaps/>
          <w:sz w:val="20"/>
          <w:szCs w:val="20"/>
        </w:rPr>
      </w:pPr>
    </w:p>
    <w:p w:rsidR="00471CBE" w:rsidRDefault="00471CBE" w:rsidP="00471CBE">
      <w:pPr>
        <w:pStyle w:val="ABReferences"/>
      </w:pPr>
      <w:proofErr w:type="spellStart"/>
      <w:r>
        <w:rPr>
          <w:smallCaps/>
        </w:rPr>
        <w:t>Aretz</w:t>
      </w:r>
      <w:proofErr w:type="spellEnd"/>
      <w:r>
        <w:t xml:space="preserve">, M. (2010a): Rugose corals from the upper </w:t>
      </w:r>
      <w:proofErr w:type="spellStart"/>
      <w:r>
        <w:t>Viséan</w:t>
      </w:r>
      <w:proofErr w:type="spellEnd"/>
      <w:r>
        <w:t xml:space="preserve"> (Carboniferous) of the </w:t>
      </w:r>
      <w:proofErr w:type="spellStart"/>
      <w:r>
        <w:t>Jerada</w:t>
      </w:r>
      <w:proofErr w:type="spellEnd"/>
      <w:r>
        <w:t xml:space="preserve"> Massif (NE Morocco): taxonomy, biostratigraphy, </w:t>
      </w:r>
      <w:proofErr w:type="spellStart"/>
      <w:r>
        <w:t>facies</w:t>
      </w:r>
      <w:proofErr w:type="spellEnd"/>
      <w:r>
        <w:t xml:space="preserve"> and </w:t>
      </w:r>
      <w:proofErr w:type="spellStart"/>
      <w:r>
        <w:t>palaeobiogeography</w:t>
      </w:r>
      <w:proofErr w:type="spellEnd"/>
      <w:r>
        <w:t xml:space="preserve">. - </w:t>
      </w:r>
      <w:proofErr w:type="spellStart"/>
      <w:r>
        <w:t>Paläontologische</w:t>
      </w:r>
      <w:proofErr w:type="spellEnd"/>
      <w:r>
        <w:t xml:space="preserve"> </w:t>
      </w:r>
      <w:proofErr w:type="spellStart"/>
      <w:r>
        <w:t>Zeitschrift</w:t>
      </w:r>
      <w:proofErr w:type="spellEnd"/>
      <w:r>
        <w:rPr>
          <w:i/>
        </w:rPr>
        <w:t>,</w:t>
      </w:r>
      <w:r>
        <w:t xml:space="preserve"> </w:t>
      </w:r>
      <w:r>
        <w:rPr>
          <w:b/>
        </w:rPr>
        <w:t>84</w:t>
      </w:r>
      <w:r>
        <w:t xml:space="preserve">: 323-344. </w:t>
      </w:r>
    </w:p>
    <w:p w:rsidR="00471CBE" w:rsidRDefault="00471CBE" w:rsidP="00471CBE">
      <w:pPr>
        <w:pStyle w:val="ABReferences"/>
      </w:pPr>
      <w:proofErr w:type="spellStart"/>
      <w:r>
        <w:rPr>
          <w:smallCaps/>
        </w:rPr>
        <w:t>Aretz</w:t>
      </w:r>
      <w:proofErr w:type="spellEnd"/>
      <w:r>
        <w:t xml:space="preserve">, M. (2010b): Habitats of colonial rugose corals: </w:t>
      </w:r>
      <w:proofErr w:type="gramStart"/>
      <w:r>
        <w:t>the</w:t>
      </w:r>
      <w:proofErr w:type="gramEnd"/>
      <w:r>
        <w:t xml:space="preserve"> Mississippian (Carboniferous) of Western Europe as example for a general classification. - </w:t>
      </w:r>
      <w:proofErr w:type="spellStart"/>
      <w:r>
        <w:t>Lethaia</w:t>
      </w:r>
      <w:proofErr w:type="spellEnd"/>
      <w:r>
        <w:t xml:space="preserve">, </w:t>
      </w:r>
      <w:r>
        <w:rPr>
          <w:b/>
        </w:rPr>
        <w:t>43</w:t>
      </w:r>
      <w:r>
        <w:t>: 558-572.</w:t>
      </w:r>
    </w:p>
    <w:p w:rsidR="00471CBE" w:rsidRDefault="00471CBE" w:rsidP="00471CBE">
      <w:pPr>
        <w:pStyle w:val="ABReferences"/>
      </w:pPr>
      <w:proofErr w:type="spellStart"/>
      <w:r>
        <w:rPr>
          <w:smallCaps/>
          <w:lang w:val="en-US"/>
        </w:rPr>
        <w:t>Poty</w:t>
      </w:r>
      <w:proofErr w:type="spellEnd"/>
      <w:r>
        <w:rPr>
          <w:lang w:val="en-US"/>
        </w:rPr>
        <w:t xml:space="preserve">, E. (2002): </w:t>
      </w:r>
      <w:r>
        <w:t xml:space="preserve">Stratigraphy and paleobiogeography of Carboniferous Rugose Corals of Nova Scotia. – In: </w:t>
      </w:r>
      <w:r>
        <w:rPr>
          <w:smallCaps/>
        </w:rPr>
        <w:t xml:space="preserve">Hills, L.V., Henderson, C.M. &amp; </w:t>
      </w:r>
      <w:proofErr w:type="spellStart"/>
      <w:r>
        <w:rPr>
          <w:smallCaps/>
        </w:rPr>
        <w:t>Bamber</w:t>
      </w:r>
      <w:proofErr w:type="spellEnd"/>
      <w:r>
        <w:t>,</w:t>
      </w:r>
      <w:r>
        <w:rPr>
          <w:i/>
        </w:rPr>
        <w:t xml:space="preserve"> </w:t>
      </w:r>
      <w:r>
        <w:t xml:space="preserve">E.W. (Eds.), Carboniferous and Permian of the world. Canadian Society of Petroleum Geologists, Memoir, </w:t>
      </w:r>
      <w:r>
        <w:rPr>
          <w:b/>
        </w:rPr>
        <w:t>19</w:t>
      </w:r>
      <w:r>
        <w:t>: 580-587.</w:t>
      </w:r>
    </w:p>
    <w:p w:rsidR="00471CBE" w:rsidRDefault="00471CBE" w:rsidP="00471CBE">
      <w:pPr>
        <w:pStyle w:val="ABReferences"/>
        <w:rPr>
          <w:lang w:val="en-US"/>
        </w:rPr>
      </w:pPr>
      <w:proofErr w:type="spellStart"/>
      <w:r>
        <w:rPr>
          <w:smallCaps/>
          <w:lang w:val="en-US"/>
        </w:rPr>
        <w:t>Sando</w:t>
      </w:r>
      <w:proofErr w:type="spellEnd"/>
      <w:r>
        <w:rPr>
          <w:smallCaps/>
          <w:lang w:val="en-US"/>
        </w:rPr>
        <w:t xml:space="preserve">, W.J. (1990): </w:t>
      </w:r>
      <w:r>
        <w:rPr>
          <w:lang w:val="en-US"/>
        </w:rPr>
        <w:t xml:space="preserve">Global Mississippian coral zonation. - Courier </w:t>
      </w:r>
      <w:proofErr w:type="spellStart"/>
      <w:r>
        <w:rPr>
          <w:lang w:val="en-US"/>
        </w:rPr>
        <w:t>Forschungsinstitut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Senckenberg</w:t>
      </w:r>
      <w:proofErr w:type="spellEnd"/>
      <w:r>
        <w:rPr>
          <w:lang w:val="en-US"/>
        </w:rPr>
        <w:t xml:space="preserve">, </w:t>
      </w:r>
      <w:r>
        <w:rPr>
          <w:b/>
          <w:lang w:val="en-US"/>
        </w:rPr>
        <w:t>130</w:t>
      </w:r>
      <w:r>
        <w:rPr>
          <w:lang w:val="en-US"/>
        </w:rPr>
        <w:t>: 173-187.</w:t>
      </w:r>
    </w:p>
    <w:p w:rsidR="00471CBE" w:rsidRDefault="00471CBE" w:rsidP="00471CBE">
      <w:pPr>
        <w:pStyle w:val="ABReferences"/>
        <w:rPr>
          <w:lang w:val="fr-FR"/>
        </w:rPr>
      </w:pPr>
      <w:proofErr w:type="spellStart"/>
      <w:r>
        <w:rPr>
          <w:smallCaps/>
          <w:lang w:val="fr-FR"/>
        </w:rPr>
        <w:t>Semenoff</w:t>
      </w:r>
      <w:proofErr w:type="spellEnd"/>
      <w:r>
        <w:rPr>
          <w:smallCaps/>
          <w:lang w:val="fr-FR"/>
        </w:rPr>
        <w:t>-Tian-</w:t>
      </w:r>
      <w:proofErr w:type="spellStart"/>
      <w:r>
        <w:rPr>
          <w:smallCaps/>
          <w:lang w:val="fr-FR"/>
        </w:rPr>
        <w:t>Chansky</w:t>
      </w:r>
      <w:proofErr w:type="spellEnd"/>
      <w:r>
        <w:rPr>
          <w:smallCaps/>
          <w:lang w:val="fr-FR"/>
        </w:rPr>
        <w:t xml:space="preserve"> P. (1974</w:t>
      </w:r>
      <w:proofErr w:type="gramStart"/>
      <w:r>
        <w:rPr>
          <w:smallCaps/>
          <w:lang w:val="fr-FR"/>
        </w:rPr>
        <w:t>):</w:t>
      </w:r>
      <w:proofErr w:type="gramEnd"/>
      <w:r>
        <w:rPr>
          <w:smallCaps/>
          <w:lang w:val="fr-FR"/>
        </w:rPr>
        <w:t xml:space="preserve"> </w:t>
      </w:r>
      <w:r>
        <w:rPr>
          <w:lang w:val="fr-FR"/>
        </w:rPr>
        <w:t xml:space="preserve">Recherches sur les </w:t>
      </w:r>
      <w:proofErr w:type="spellStart"/>
      <w:r>
        <w:rPr>
          <w:lang w:val="fr-FR"/>
        </w:rPr>
        <w:t>Tétracoralliaires</w:t>
      </w:r>
      <w:proofErr w:type="spellEnd"/>
      <w:r>
        <w:rPr>
          <w:lang w:val="fr-FR"/>
        </w:rPr>
        <w:t xml:space="preserve"> du Carbonifère du Sahara occidental. - Centre de Recherches des Zones arides, </w:t>
      </w:r>
      <w:proofErr w:type="gramStart"/>
      <w:r>
        <w:rPr>
          <w:lang w:val="fr-FR"/>
        </w:rPr>
        <w:t>série:</w:t>
      </w:r>
      <w:proofErr w:type="gramEnd"/>
      <w:r>
        <w:rPr>
          <w:lang w:val="fr-FR"/>
        </w:rPr>
        <w:t xml:space="preserve"> géologie, </w:t>
      </w:r>
      <w:r>
        <w:rPr>
          <w:b/>
          <w:lang w:val="fr-FR"/>
        </w:rPr>
        <w:t>21</w:t>
      </w:r>
      <w:r>
        <w:rPr>
          <w:lang w:val="fr-FR"/>
        </w:rPr>
        <w:t>: 1-316.</w:t>
      </w:r>
    </w:p>
    <w:p w:rsidR="00471CBE" w:rsidRDefault="00471CBE" w:rsidP="00471CBE">
      <w:pPr>
        <w:pStyle w:val="ABReferences"/>
        <w:rPr>
          <w:lang w:val="en-US"/>
        </w:rPr>
      </w:pPr>
      <w:proofErr w:type="spellStart"/>
      <w:r>
        <w:rPr>
          <w:smallCaps/>
          <w:lang w:val="en-US"/>
        </w:rPr>
        <w:t>Vachard</w:t>
      </w:r>
      <w:proofErr w:type="spellEnd"/>
      <w:r>
        <w:rPr>
          <w:smallCaps/>
          <w:lang w:val="en-US"/>
        </w:rPr>
        <w:t xml:space="preserve">, D., </w:t>
      </w:r>
      <w:proofErr w:type="spellStart"/>
      <w:r>
        <w:rPr>
          <w:smallCaps/>
          <w:lang w:val="en-US"/>
        </w:rPr>
        <w:t>Pille</w:t>
      </w:r>
      <w:proofErr w:type="spellEnd"/>
      <w:r>
        <w:rPr>
          <w:smallCaps/>
          <w:lang w:val="en-US"/>
        </w:rPr>
        <w:t xml:space="preserve">, L., </w:t>
      </w:r>
      <w:proofErr w:type="spellStart"/>
      <w:r>
        <w:rPr>
          <w:smallCaps/>
          <w:lang w:val="en-US"/>
        </w:rPr>
        <w:t>Aretz</w:t>
      </w:r>
      <w:proofErr w:type="spellEnd"/>
      <w:r>
        <w:rPr>
          <w:smallCaps/>
          <w:lang w:val="en-US"/>
        </w:rPr>
        <w:t xml:space="preserve">, M., Herbig, H.-G. &amp; </w:t>
      </w:r>
      <w:proofErr w:type="spellStart"/>
      <w:r>
        <w:rPr>
          <w:smallCaps/>
          <w:lang w:val="en-US"/>
        </w:rPr>
        <w:t>Cozar</w:t>
      </w:r>
      <w:proofErr w:type="spellEnd"/>
      <w:r>
        <w:rPr>
          <w:smallCaps/>
          <w:lang w:val="en-US"/>
        </w:rPr>
        <w:t>, P.</w:t>
      </w:r>
      <w:r>
        <w:rPr>
          <w:lang w:val="en-US"/>
        </w:rPr>
        <w:t xml:space="preserve"> (2006): </w:t>
      </w:r>
      <w:proofErr w:type="spellStart"/>
      <w:r>
        <w:rPr>
          <w:i/>
          <w:lang w:val="en-US"/>
        </w:rPr>
        <w:t>Eovelebitella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dasyclad</w:t>
      </w:r>
      <w:proofErr w:type="spellEnd"/>
      <w:r>
        <w:rPr>
          <w:lang w:val="en-US"/>
        </w:rPr>
        <w:t xml:space="preserve"> algae) and importance of its </w:t>
      </w:r>
      <w:proofErr w:type="spellStart"/>
      <w:r>
        <w:rPr>
          <w:lang w:val="en-US"/>
        </w:rPr>
        <w:t>Brigantian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subprovince</w:t>
      </w:r>
      <w:proofErr w:type="spellEnd"/>
      <w:r>
        <w:rPr>
          <w:lang w:val="en-US"/>
        </w:rPr>
        <w:t xml:space="preserve"> within the western </w:t>
      </w:r>
      <w:proofErr w:type="spellStart"/>
      <w:r>
        <w:rPr>
          <w:lang w:val="en-US"/>
        </w:rPr>
        <w:t>Palaeotethys</w:t>
      </w:r>
      <w:proofErr w:type="spellEnd"/>
      <w:r>
        <w:rPr>
          <w:lang w:val="en-US"/>
        </w:rPr>
        <w:t xml:space="preserve">. – In: </w:t>
      </w:r>
      <w:proofErr w:type="spellStart"/>
      <w:r>
        <w:rPr>
          <w:smallCaps/>
          <w:lang w:val="en-US"/>
        </w:rPr>
        <w:t>Aretz</w:t>
      </w:r>
      <w:proofErr w:type="spellEnd"/>
      <w:r>
        <w:rPr>
          <w:smallCaps/>
          <w:lang w:val="en-US"/>
        </w:rPr>
        <w:t>, M. &amp; Herbig</w:t>
      </w:r>
      <w:r>
        <w:rPr>
          <w:lang w:val="en-US"/>
        </w:rPr>
        <w:t xml:space="preserve">, H.-G. (Eds.), Carboniferous Conference Cologne. From Platform to Basin, September 4-10, 2006. Program and Abstracts. </w:t>
      </w:r>
      <w:proofErr w:type="spellStart"/>
      <w:r>
        <w:rPr>
          <w:lang w:val="en-US"/>
        </w:rPr>
        <w:t>Kölner</w:t>
      </w:r>
      <w:proofErr w:type="spellEnd"/>
      <w:r>
        <w:rPr>
          <w:lang w:val="en-US"/>
        </w:rPr>
        <w:t xml:space="preserve"> Forum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Geologie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Paläontologie</w:t>
      </w:r>
      <w:proofErr w:type="spellEnd"/>
      <w:r>
        <w:rPr>
          <w:lang w:val="en-US"/>
        </w:rPr>
        <w:t xml:space="preserve">, </w:t>
      </w:r>
      <w:r>
        <w:rPr>
          <w:b/>
          <w:lang w:val="en-US"/>
        </w:rPr>
        <w:t>15</w:t>
      </w:r>
      <w:r>
        <w:rPr>
          <w:lang w:val="en-US"/>
        </w:rPr>
        <w:t>: 120-121.</w:t>
      </w:r>
    </w:p>
    <w:p w:rsidR="00CD70FB" w:rsidRPr="00CF3093" w:rsidRDefault="00CF3093">
      <w:pPr>
        <w:rPr>
          <w:rFonts w:ascii="Book Antiqua" w:eastAsia="Times New Roman" w:hAnsi="Book Antiqua" w:cs="Times New Roman"/>
          <w:b/>
          <w:sz w:val="18"/>
          <w:szCs w:val="18"/>
          <w:lang w:val="en-US" w:eastAsia="de-DE"/>
        </w:rPr>
      </w:pPr>
      <w:r w:rsidRPr="00CF3093">
        <w:rPr>
          <w:rFonts w:ascii="Book Antiqua" w:eastAsia="Times New Roman" w:hAnsi="Book Antiqua" w:cs="Times New Roman"/>
          <w:b/>
          <w:sz w:val="18"/>
          <w:szCs w:val="18"/>
          <w:lang w:val="en-US" w:eastAsia="de-DE"/>
        </w:rPr>
        <w:t>Last line here</w:t>
      </w:r>
      <w:bookmarkStart w:id="3" w:name="_GoBack"/>
      <w:bookmarkEnd w:id="3"/>
    </w:p>
    <w:sectPr w:rsidR="00CD70FB" w:rsidRPr="00CF3093" w:rsidSect="00471CBE">
      <w:headerReference w:type="default" r:id="rId8"/>
      <w:pgSz w:w="11906" w:h="16838"/>
      <w:pgMar w:top="1758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AA" w:rsidRDefault="000C61AA" w:rsidP="00471CBE">
      <w:pPr>
        <w:spacing w:line="240" w:lineRule="auto"/>
      </w:pPr>
      <w:r>
        <w:separator/>
      </w:r>
    </w:p>
  </w:endnote>
  <w:endnote w:type="continuationSeparator" w:id="0">
    <w:p w:rsidR="000C61AA" w:rsidRDefault="000C61AA" w:rsidP="00471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AA" w:rsidRDefault="000C61AA" w:rsidP="00471CBE">
      <w:pPr>
        <w:spacing w:line="240" w:lineRule="auto"/>
      </w:pPr>
      <w:r>
        <w:separator/>
      </w:r>
    </w:p>
  </w:footnote>
  <w:footnote w:type="continuationSeparator" w:id="0">
    <w:p w:rsidR="000C61AA" w:rsidRDefault="000C61AA" w:rsidP="00471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BE" w:rsidRPr="00471CBE" w:rsidRDefault="00471CBE" w:rsidP="00471CBE">
    <w:pPr>
      <w:spacing w:line="240" w:lineRule="auto"/>
      <w:rPr>
        <w:rFonts w:ascii="Book Antiqua" w:eastAsia="Times New Roman" w:hAnsi="Book Antiqua" w:cs="Times New Roman"/>
        <w:position w:val="24"/>
        <w:sz w:val="18"/>
        <w:szCs w:val="18"/>
        <w:lang w:eastAsia="de-DE"/>
      </w:rPr>
    </w:pPr>
    <w:r w:rsidRPr="00471CBE">
      <w:rPr>
        <w:rFonts w:ascii="Book Antiqua" w:eastAsia="Times New Roman" w:hAnsi="Book Antiqua" w:cs="Times New Roman"/>
        <w:position w:val="24"/>
        <w:sz w:val="18"/>
        <w:szCs w:val="18"/>
        <w:lang w:eastAsia="de-DE"/>
      </w:rPr>
      <w:t>_________________________________________________________________________________________________________</w:t>
    </w:r>
  </w:p>
  <w:tbl>
    <w:tblPr>
      <w:tblW w:w="1104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301"/>
      <w:gridCol w:w="3739"/>
    </w:tblGrid>
    <w:tr w:rsidR="00471CBE" w:rsidRPr="00CF3093" w:rsidTr="00D52A71">
      <w:tc>
        <w:tcPr>
          <w:tcW w:w="7301" w:type="dxa"/>
        </w:tcPr>
        <w:p w:rsidR="00471CBE" w:rsidRPr="00CF3093" w:rsidRDefault="00471CBE" w:rsidP="00471CBE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eastAsia="Times New Roman" w:hAnsi="Book Antiqua" w:cs="Times New Roman"/>
              <w:i/>
              <w:smallCaps/>
              <w:sz w:val="18"/>
              <w:szCs w:val="18"/>
              <w:lang w:val="en-GB" w:eastAsia="de-DE"/>
            </w:rPr>
          </w:pPr>
          <w:r w:rsidRPr="00CF3093">
            <w:rPr>
              <w:rFonts w:ascii="Book Antiqua" w:eastAsia="Times New Roman" w:hAnsi="Book Antiqua" w:cs="Times New Roman"/>
              <w:sz w:val="18"/>
              <w:szCs w:val="18"/>
              <w:lang w:val="en-GB" w:eastAsia="de-DE"/>
            </w:rPr>
            <w:t xml:space="preserve">Kölner Forum Geol. Paläont., </w:t>
          </w:r>
          <w:r w:rsidRPr="00CF3093">
            <w:rPr>
              <w:rFonts w:ascii="Book Antiqua" w:eastAsia="Times New Roman" w:hAnsi="Book Antiqua" w:cs="Times New Roman"/>
              <w:b/>
              <w:sz w:val="18"/>
              <w:szCs w:val="18"/>
              <w:lang w:val="en-GB" w:eastAsia="de-DE"/>
            </w:rPr>
            <w:t>19</w:t>
          </w:r>
          <w:r w:rsidRPr="00CF3093">
            <w:rPr>
              <w:rFonts w:ascii="Book Antiqua" w:eastAsia="Times New Roman" w:hAnsi="Book Antiqua" w:cs="Times New Roman"/>
              <w:sz w:val="18"/>
              <w:szCs w:val="18"/>
              <w:lang w:val="en-GB" w:eastAsia="de-DE"/>
            </w:rPr>
            <w:t xml:space="preserve"> (2011)</w:t>
          </w:r>
          <w:r w:rsidRPr="00CF3093">
            <w:rPr>
              <w:rFonts w:ascii="Book Antiqua" w:eastAsia="Times New Roman" w:hAnsi="Book Antiqua" w:cs="Times New Roman"/>
              <w:i/>
              <w:smallCaps/>
              <w:sz w:val="18"/>
              <w:szCs w:val="18"/>
              <w:lang w:val="en-GB" w:eastAsia="de-DE"/>
            </w:rPr>
            <w:t xml:space="preserve"> </w:t>
          </w:r>
        </w:p>
        <w:p w:rsidR="00471CBE" w:rsidRPr="00CF3093" w:rsidRDefault="00471CBE" w:rsidP="00471CBE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eastAsia="Times New Roman" w:hAnsi="Book Antiqua" w:cs="Times New Roman"/>
              <w:i/>
              <w:sz w:val="18"/>
              <w:szCs w:val="18"/>
              <w:lang w:val="en-GB" w:eastAsia="de-DE"/>
            </w:rPr>
          </w:pPr>
          <w:r w:rsidRPr="00CF3093">
            <w:rPr>
              <w:rFonts w:ascii="Book Antiqua" w:eastAsia="Times New Roman" w:hAnsi="Book Antiqua" w:cs="Times New Roman"/>
              <w:i/>
              <w:smallCaps/>
              <w:sz w:val="18"/>
              <w:szCs w:val="18"/>
              <w:lang w:val="en-GB" w:eastAsia="de-DE"/>
            </w:rPr>
            <w:t xml:space="preserve">M. Aretz, S. Delculée, J. Denayer  &amp; E. Poty </w:t>
          </w:r>
          <w:r w:rsidRPr="00CF3093">
            <w:rPr>
              <w:rFonts w:ascii="Book Antiqua" w:eastAsia="Times New Roman" w:hAnsi="Book Antiqua" w:cs="Times New Roman"/>
              <w:i/>
              <w:sz w:val="18"/>
              <w:szCs w:val="18"/>
              <w:lang w:val="en-GB" w:eastAsia="de-DE"/>
            </w:rPr>
            <w:t>(Eds.)</w:t>
          </w:r>
        </w:p>
        <w:p w:rsidR="00471CBE" w:rsidRPr="00471CBE" w:rsidRDefault="00471CBE" w:rsidP="00471CBE">
          <w:pPr>
            <w:tabs>
              <w:tab w:val="center" w:pos="4536"/>
              <w:tab w:val="right" w:pos="9072"/>
            </w:tabs>
            <w:spacing w:line="240" w:lineRule="auto"/>
            <w:rPr>
              <w:rFonts w:ascii="Book Antiqua" w:eastAsia="Times New Roman" w:hAnsi="Book Antiqua" w:cs="Times New Roman"/>
              <w:sz w:val="18"/>
              <w:szCs w:val="18"/>
              <w:lang w:val="en-GB" w:eastAsia="de-DE"/>
            </w:rPr>
          </w:pPr>
          <w:r w:rsidRPr="00471CBE">
            <w:rPr>
              <w:rFonts w:ascii="Book Antiqua" w:eastAsia="Times New Roman" w:hAnsi="Book Antiqua" w:cs="Times New Roman"/>
              <w:i/>
              <w:sz w:val="18"/>
              <w:szCs w:val="18"/>
              <w:lang w:val="en-GB" w:eastAsia="de-DE"/>
            </w:rPr>
            <w:t xml:space="preserve">Abstracts, 11th Symposium on Fossil </w:t>
          </w:r>
          <w:proofErr w:type="spellStart"/>
          <w:r w:rsidRPr="00471CBE">
            <w:rPr>
              <w:rFonts w:ascii="Book Antiqua" w:eastAsia="Times New Roman" w:hAnsi="Book Antiqua" w:cs="Times New Roman"/>
              <w:i/>
              <w:sz w:val="18"/>
              <w:szCs w:val="18"/>
              <w:lang w:val="en-GB" w:eastAsia="de-DE"/>
            </w:rPr>
            <w:t>Cnidaria</w:t>
          </w:r>
          <w:proofErr w:type="spellEnd"/>
          <w:r w:rsidRPr="00471CBE">
            <w:rPr>
              <w:rFonts w:ascii="Book Antiqua" w:eastAsia="Times New Roman" w:hAnsi="Book Antiqua" w:cs="Times New Roman"/>
              <w:i/>
              <w:sz w:val="18"/>
              <w:szCs w:val="18"/>
              <w:lang w:val="en-GB" w:eastAsia="de-DE"/>
            </w:rPr>
            <w:t xml:space="preserve"> and Sponges, Liège, August 19-29, 2011 </w:t>
          </w:r>
        </w:p>
      </w:tc>
      <w:tc>
        <w:tcPr>
          <w:tcW w:w="3739" w:type="dxa"/>
        </w:tcPr>
        <w:p w:rsidR="00471CBE" w:rsidRPr="00471CBE" w:rsidRDefault="00471CBE" w:rsidP="00471CBE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Book Antiqua" w:eastAsia="Times New Roman" w:hAnsi="Book Antiqua" w:cs="Times New Roman"/>
              <w:sz w:val="18"/>
              <w:szCs w:val="18"/>
              <w:lang w:val="en-GB" w:eastAsia="de-DE"/>
            </w:rPr>
          </w:pPr>
        </w:p>
      </w:tc>
    </w:tr>
  </w:tbl>
  <w:p w:rsidR="00471CBE" w:rsidRPr="00471CBE" w:rsidRDefault="00471CBE" w:rsidP="00471CBE">
    <w:pPr>
      <w:tabs>
        <w:tab w:val="center" w:pos="4536"/>
        <w:tab w:val="right" w:pos="9072"/>
      </w:tabs>
      <w:spacing w:line="240" w:lineRule="auto"/>
      <w:rPr>
        <w:rFonts w:ascii="Book Antiqua" w:eastAsia="Times New Roman" w:hAnsi="Book Antiqua" w:cs="Times New Roman"/>
        <w:sz w:val="18"/>
        <w:szCs w:val="18"/>
        <w:lang w:val="en-GB" w:eastAsia="de-DE"/>
      </w:rPr>
    </w:pPr>
    <w:r w:rsidRPr="00471CBE">
      <w:rPr>
        <w:rFonts w:ascii="Book Antiqua" w:eastAsia="Times New Roman" w:hAnsi="Book Antiqua" w:cs="Times New Roman"/>
        <w:sz w:val="18"/>
        <w:szCs w:val="18"/>
        <w:lang w:val="en-GB" w:eastAsia="de-DE"/>
      </w:rPr>
      <w:t>_________________________________________________________________________________________________________</w:t>
    </w:r>
  </w:p>
  <w:p w:rsidR="00471CBE" w:rsidRPr="00471CBE" w:rsidRDefault="00471CBE" w:rsidP="00471CBE">
    <w:pPr>
      <w:pStyle w:val="Kopfzeile"/>
      <w:spacing w:line="360" w:lineRule="auto"/>
      <w:rPr>
        <w:rFonts w:ascii="Book Antiqua" w:hAnsi="Book Antiqu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BE"/>
    <w:rsid w:val="000A528D"/>
    <w:rsid w:val="000C61AA"/>
    <w:rsid w:val="00171D91"/>
    <w:rsid w:val="00471CBE"/>
    <w:rsid w:val="0082055E"/>
    <w:rsid w:val="00CD70FB"/>
    <w:rsid w:val="00CF3093"/>
    <w:rsid w:val="00D93CD2"/>
    <w:rsid w:val="00E3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9178"/>
  <w15:chartTrackingRefBased/>
  <w15:docId w15:val="{B3BEBFB1-D4AD-4E29-AAEB-5CAE48C4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CB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CBE"/>
  </w:style>
  <w:style w:type="paragraph" w:styleId="Fuzeile">
    <w:name w:val="footer"/>
    <w:basedOn w:val="Standard"/>
    <w:link w:val="FuzeileZchn"/>
    <w:uiPriority w:val="99"/>
    <w:unhideWhenUsed/>
    <w:rsid w:val="00471C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CBE"/>
  </w:style>
  <w:style w:type="paragraph" w:customStyle="1" w:styleId="ABber">
    <w:name w:val="AB_Über"/>
    <w:basedOn w:val="Standard"/>
    <w:rsid w:val="00471CBE"/>
    <w:pPr>
      <w:spacing w:line="240" w:lineRule="auto"/>
      <w:jc w:val="center"/>
    </w:pPr>
    <w:rPr>
      <w:rFonts w:ascii="Book Antiqua" w:eastAsia="Times New Roman" w:hAnsi="Book Antiqua" w:cs="Times New Roman"/>
      <w:b/>
      <w:sz w:val="28"/>
      <w:szCs w:val="28"/>
      <w:lang w:val="en-GB" w:eastAsia="de-DE"/>
    </w:rPr>
  </w:style>
  <w:style w:type="paragraph" w:customStyle="1" w:styleId="ABAdresse">
    <w:name w:val="AB_Adresse"/>
    <w:basedOn w:val="Standard"/>
    <w:rsid w:val="00471CBE"/>
    <w:pPr>
      <w:spacing w:line="240" w:lineRule="auto"/>
      <w:jc w:val="center"/>
    </w:pPr>
    <w:rPr>
      <w:rFonts w:ascii="Book Antiqua" w:eastAsia="Times New Roman" w:hAnsi="Book Antiqua" w:cs="Times New Roman"/>
      <w:sz w:val="20"/>
      <w:szCs w:val="28"/>
      <w:lang w:val="en-GB" w:eastAsia="de-DE"/>
    </w:rPr>
  </w:style>
  <w:style w:type="paragraph" w:customStyle="1" w:styleId="ABName">
    <w:name w:val="AB_Name"/>
    <w:basedOn w:val="Standard"/>
    <w:rsid w:val="00471CBE"/>
    <w:pPr>
      <w:spacing w:line="240" w:lineRule="auto"/>
      <w:jc w:val="center"/>
    </w:pPr>
    <w:rPr>
      <w:rFonts w:ascii="Book Antiqua" w:eastAsia="Times New Roman" w:hAnsi="Book Antiqua" w:cs="Times New Roman"/>
      <w:sz w:val="24"/>
      <w:szCs w:val="24"/>
      <w:lang w:val="en-GB" w:eastAsia="de-DE"/>
    </w:rPr>
  </w:style>
  <w:style w:type="paragraph" w:customStyle="1" w:styleId="ABText">
    <w:name w:val="AB_Text"/>
    <w:basedOn w:val="Standard"/>
    <w:rsid w:val="00471CBE"/>
    <w:pPr>
      <w:spacing w:line="240" w:lineRule="auto"/>
      <w:ind w:firstLine="284"/>
      <w:jc w:val="both"/>
    </w:pPr>
    <w:rPr>
      <w:rFonts w:ascii="Book Antiqua" w:eastAsia="Times New Roman" w:hAnsi="Book Antiqua" w:cs="Times New Roman"/>
      <w:sz w:val="20"/>
      <w:szCs w:val="28"/>
      <w:lang w:val="en-GB" w:eastAsia="de-DE"/>
    </w:rPr>
  </w:style>
  <w:style w:type="paragraph" w:customStyle="1" w:styleId="ABFigure">
    <w:name w:val="AB_Figure"/>
    <w:basedOn w:val="Standard"/>
    <w:rsid w:val="00471CBE"/>
    <w:pPr>
      <w:spacing w:line="240" w:lineRule="auto"/>
      <w:jc w:val="both"/>
    </w:pPr>
    <w:rPr>
      <w:rFonts w:ascii="Book Antiqua" w:eastAsia="Times New Roman" w:hAnsi="Book Antiqua" w:cs="Times New Roman"/>
      <w:b/>
      <w:sz w:val="18"/>
      <w:szCs w:val="18"/>
      <w:lang w:val="en-GB" w:eastAsia="de-DE"/>
    </w:rPr>
  </w:style>
  <w:style w:type="paragraph" w:customStyle="1" w:styleId="ABReferences">
    <w:name w:val="AB_References"/>
    <w:rsid w:val="00471CBE"/>
    <w:pPr>
      <w:spacing w:line="240" w:lineRule="auto"/>
      <w:ind w:left="284" w:hanging="284"/>
      <w:jc w:val="both"/>
    </w:pPr>
    <w:rPr>
      <w:rFonts w:ascii="Book Antiqua" w:eastAsia="Times New Roman" w:hAnsi="Book Antiqua" w:cs="Times New Roman"/>
      <w:sz w:val="18"/>
      <w:szCs w:val="2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74F7-0811-43E4-B612-2B57F123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Herbig</dc:creator>
  <cp:keywords/>
  <dc:description/>
  <cp:lastModifiedBy>Prof. Herbig</cp:lastModifiedBy>
  <cp:revision>4</cp:revision>
  <dcterms:created xsi:type="dcterms:W3CDTF">2019-02-02T20:01:00Z</dcterms:created>
  <dcterms:modified xsi:type="dcterms:W3CDTF">2019-02-05T10:37:00Z</dcterms:modified>
</cp:coreProperties>
</file>